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55617F87"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w:t>
      </w:r>
      <w:r w:rsidR="00D85F6B">
        <w:rPr>
          <w:rFonts w:ascii="Arial" w:hAnsi="Arial" w:cs="Arial"/>
          <w:sz w:val="24"/>
          <w:szCs w:val="28"/>
          <w:lang w:val="en-CA"/>
        </w:rPr>
        <w:t>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9D307C">
        <w:rPr>
          <w:rFonts w:ascii="Arial" w:hAnsi="Arial" w:cs="Arial"/>
          <w:sz w:val="24"/>
          <w:szCs w:val="28"/>
          <w:lang w:val="en-CA"/>
        </w:rPr>
        <w:t>7</w:t>
      </w:r>
      <w:r w:rsidR="00A06140">
        <w:rPr>
          <w:rFonts w:ascii="Arial" w:hAnsi="Arial" w:cs="Arial"/>
          <w:sz w:val="24"/>
          <w:szCs w:val="28"/>
          <w:lang w:val="en-CA"/>
        </w:rPr>
        <w:t>400</w:t>
      </w:r>
    </w:p>
    <w:p w14:paraId="280E2474" w14:textId="51A531D1" w:rsidR="00D80957" w:rsidRPr="00457F73" w:rsidRDefault="00D85F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Busan</w:t>
      </w:r>
      <w:r w:rsidR="00B14854">
        <w:rPr>
          <w:rFonts w:ascii="Arial" w:hAnsi="Arial" w:cs="Arial"/>
          <w:sz w:val="24"/>
          <w:szCs w:val="28"/>
          <w:lang w:val="en-CA"/>
        </w:rPr>
        <w:t xml:space="preserve">, </w:t>
      </w:r>
      <w:r>
        <w:rPr>
          <w:rFonts w:ascii="Arial" w:hAnsi="Arial" w:cs="Arial"/>
          <w:sz w:val="24"/>
          <w:szCs w:val="28"/>
          <w:lang w:val="en-CA"/>
        </w:rPr>
        <w:t>Korea</w:t>
      </w:r>
      <w:r w:rsidR="00FA5AC6">
        <w:rPr>
          <w:rFonts w:ascii="Arial" w:hAnsi="Arial" w:cs="Arial"/>
          <w:sz w:val="24"/>
          <w:szCs w:val="28"/>
          <w:lang w:val="en-CA"/>
        </w:rPr>
        <w:t>,</w:t>
      </w:r>
      <w:r w:rsidR="00A2225E">
        <w:rPr>
          <w:rFonts w:ascii="Arial" w:hAnsi="Arial" w:cs="Arial"/>
          <w:sz w:val="24"/>
          <w:szCs w:val="28"/>
          <w:lang w:val="en-CA"/>
        </w:rPr>
        <w:t xml:space="preserve"> </w:t>
      </w:r>
      <w:r>
        <w:rPr>
          <w:rFonts w:ascii="Arial" w:hAnsi="Arial" w:cs="Arial"/>
          <w:sz w:val="24"/>
          <w:szCs w:val="28"/>
          <w:lang w:val="en-CA"/>
        </w:rPr>
        <w:t>May 21 – 25, 2018</w:t>
      </w:r>
    </w:p>
    <w:p w14:paraId="419937A1" w14:textId="51E77E44"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AD3350">
        <w:rPr>
          <w:rFonts w:ascii="Arial" w:hAnsi="Arial" w:cs="Arial"/>
          <w:sz w:val="22"/>
          <w:szCs w:val="22"/>
          <w:lang w:val="en-US"/>
        </w:rPr>
        <w:t>6</w:t>
      </w:r>
      <w:r w:rsidR="00FA5AC6">
        <w:rPr>
          <w:rFonts w:ascii="Arial" w:hAnsi="Arial" w:cs="Arial"/>
          <w:sz w:val="22"/>
          <w:szCs w:val="22"/>
          <w:lang w:val="en-US"/>
        </w:rPr>
        <w:t>.</w:t>
      </w:r>
      <w:r w:rsidR="00AD3350">
        <w:rPr>
          <w:rFonts w:ascii="Arial" w:hAnsi="Arial" w:cs="Arial"/>
          <w:sz w:val="22"/>
          <w:szCs w:val="22"/>
          <w:lang w:val="en-US"/>
        </w:rPr>
        <w:t>19</w:t>
      </w:r>
      <w:r w:rsidR="00FA5AC6">
        <w:rPr>
          <w:rFonts w:ascii="Arial" w:hAnsi="Arial" w:cs="Arial"/>
          <w:sz w:val="22"/>
          <w:szCs w:val="22"/>
          <w:lang w:val="en-US"/>
        </w:rPr>
        <w:t>.</w:t>
      </w:r>
      <w:r w:rsidR="00AD3350">
        <w:rPr>
          <w:rFonts w:ascii="Arial" w:hAnsi="Arial" w:cs="Arial"/>
          <w:sz w:val="22"/>
          <w:szCs w:val="22"/>
          <w:lang w:val="en-US"/>
        </w:rPr>
        <w:t>4</w:t>
      </w:r>
      <w:r w:rsidR="00FA5AC6">
        <w:rPr>
          <w:rFonts w:ascii="Arial" w:hAnsi="Arial" w:cs="Arial"/>
          <w:sz w:val="22"/>
          <w:szCs w:val="22"/>
          <w:lang w:val="en-US"/>
        </w:rPr>
        <w:t>.</w:t>
      </w:r>
      <w:r w:rsidR="00AD3350">
        <w:rPr>
          <w:rFonts w:ascii="Arial" w:hAnsi="Arial" w:cs="Arial"/>
          <w:sz w:val="22"/>
          <w:szCs w:val="22"/>
          <w:lang w:val="en-US"/>
        </w:rPr>
        <w:t>2</w:t>
      </w:r>
    </w:p>
    <w:p w14:paraId="2DF7EBE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B21397C" w14:textId="0CD8978F"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A06140" w:rsidRPr="00A06140">
        <w:rPr>
          <w:rFonts w:ascii="Arial" w:hAnsi="Arial" w:cs="Arial"/>
          <w:sz w:val="22"/>
          <w:szCs w:val="22"/>
          <w:lang w:val="en-CA"/>
        </w:rPr>
        <w:t>On NRSSI measurements for NSSS-based mobility measurements</w:t>
      </w:r>
    </w:p>
    <w:p w14:paraId="64A7119A" w14:textId="330FDD5D"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6D088C">
        <w:rPr>
          <w:rFonts w:ascii="Arial" w:hAnsi="Arial" w:cs="Arial"/>
          <w:sz w:val="22"/>
          <w:szCs w:val="22"/>
          <w:lang w:val="en-CA"/>
        </w:rPr>
        <w:t>Discussion</w:t>
      </w:r>
    </w:p>
    <w:p w14:paraId="372A0B6A" w14:textId="17DB983E" w:rsidR="000E40BC" w:rsidRPr="000E40BC" w:rsidRDefault="00D80957" w:rsidP="00FA5AC6">
      <w:pPr>
        <w:pStyle w:val="Heading1"/>
        <w:ind w:left="431" w:hanging="431"/>
        <w:rPr>
          <w:szCs w:val="36"/>
          <w:lang w:val="en-CA"/>
        </w:rPr>
      </w:pPr>
      <w:r w:rsidRPr="00457F73">
        <w:rPr>
          <w:szCs w:val="36"/>
          <w:lang w:val="en-CA"/>
        </w:rPr>
        <w:t>Introduction</w:t>
      </w:r>
      <w:bookmarkStart w:id="1" w:name="OLE_LINK13"/>
      <w:bookmarkStart w:id="2" w:name="OLE_LINK14"/>
    </w:p>
    <w:p w14:paraId="74D6D5A1" w14:textId="5DA1A7DC" w:rsidR="00FA5AC6" w:rsidRDefault="00F83797" w:rsidP="00B1640C">
      <w:pPr>
        <w:jc w:val="both"/>
        <w:rPr>
          <w:sz w:val="22"/>
          <w:lang w:val="en-CA"/>
        </w:rPr>
      </w:pPr>
      <w:r>
        <w:rPr>
          <w:sz w:val="22"/>
          <w:lang w:val="en-CA"/>
        </w:rPr>
        <w:t>At the RAN4#86 meeting in Athens</w:t>
      </w:r>
      <w:r w:rsidR="00B1640C">
        <w:rPr>
          <w:sz w:val="22"/>
          <w:lang w:val="en-CA"/>
        </w:rPr>
        <w:t xml:space="preserve">, RAN4 agreed on sending an LS </w:t>
      </w:r>
      <w:r w:rsidR="00B1640C">
        <w:rPr>
          <w:sz w:val="22"/>
          <w:lang w:val="en-CA"/>
        </w:rPr>
        <w:fldChar w:fldCharType="begin"/>
      </w:r>
      <w:r w:rsidR="00B1640C">
        <w:rPr>
          <w:sz w:val="22"/>
          <w:lang w:val="en-CA"/>
        </w:rPr>
        <w:instrText xml:space="preserve"> REF _Ref514079035 \r \h </w:instrText>
      </w:r>
      <w:r w:rsidR="00B1640C">
        <w:rPr>
          <w:sz w:val="22"/>
          <w:lang w:val="en-CA"/>
        </w:rPr>
      </w:r>
      <w:r w:rsidR="00B1640C">
        <w:rPr>
          <w:sz w:val="22"/>
          <w:lang w:val="en-CA"/>
        </w:rPr>
        <w:instrText xml:space="preserve"> \* MERGEFORMAT </w:instrText>
      </w:r>
      <w:r w:rsidR="00B1640C">
        <w:rPr>
          <w:sz w:val="22"/>
          <w:lang w:val="en-CA"/>
        </w:rPr>
        <w:fldChar w:fldCharType="separate"/>
      </w:r>
      <w:r w:rsidR="00B1640C">
        <w:rPr>
          <w:sz w:val="22"/>
          <w:lang w:val="en-CA"/>
        </w:rPr>
        <w:t>[1]</w:t>
      </w:r>
      <w:r w:rsidR="00B1640C">
        <w:rPr>
          <w:sz w:val="22"/>
          <w:lang w:val="en-CA"/>
        </w:rPr>
        <w:fldChar w:fldCharType="end"/>
      </w:r>
      <w:r w:rsidR="00B1640C">
        <w:rPr>
          <w:sz w:val="22"/>
          <w:lang w:val="en-CA"/>
        </w:rPr>
        <w:t xml:space="preserve"> to RAN1 on an updated measurement definition for NRSRP that takes into account that NSSS may be used as a proxy for NRS. Following the RAN1#92bis meeting, RAN1 sent an LS </w:t>
      </w:r>
      <w:r w:rsidR="00B1640C">
        <w:rPr>
          <w:sz w:val="22"/>
          <w:lang w:val="en-CA"/>
        </w:rPr>
        <w:fldChar w:fldCharType="begin"/>
      </w:r>
      <w:r w:rsidR="00B1640C">
        <w:rPr>
          <w:sz w:val="22"/>
          <w:lang w:val="en-CA"/>
        </w:rPr>
        <w:instrText xml:space="preserve"> REF _Ref514079121 \r \h </w:instrText>
      </w:r>
      <w:r w:rsidR="00B1640C">
        <w:rPr>
          <w:sz w:val="22"/>
          <w:lang w:val="en-CA"/>
        </w:rPr>
      </w:r>
      <w:r w:rsidR="00B1640C">
        <w:rPr>
          <w:sz w:val="22"/>
          <w:lang w:val="en-CA"/>
        </w:rPr>
        <w:instrText xml:space="preserve"> \* MERGEFORMAT </w:instrText>
      </w:r>
      <w:r w:rsidR="00B1640C">
        <w:rPr>
          <w:sz w:val="22"/>
          <w:lang w:val="en-CA"/>
        </w:rPr>
        <w:fldChar w:fldCharType="separate"/>
      </w:r>
      <w:r w:rsidR="00B1640C">
        <w:rPr>
          <w:sz w:val="22"/>
          <w:lang w:val="en-CA"/>
        </w:rPr>
        <w:t>[2]</w:t>
      </w:r>
      <w:r w:rsidR="00B1640C">
        <w:rPr>
          <w:sz w:val="22"/>
          <w:lang w:val="en-CA"/>
        </w:rPr>
        <w:fldChar w:fldCharType="end"/>
      </w:r>
      <w:r w:rsidR="00B1640C">
        <w:rPr>
          <w:sz w:val="22"/>
          <w:lang w:val="en-CA"/>
        </w:rPr>
        <w:t xml:space="preserve"> to RAN4, where among the actions, RAN1 is asking RAN4 to study whether the definition of NRSSI, which together with NRSRP is part of the definition of NRSRQ, also needs to be updated for the case when NSSS is used in lieu of NRS.</w:t>
      </w:r>
    </w:p>
    <w:p w14:paraId="70CE89DB" w14:textId="3AAF23BC" w:rsidR="00FA5AC6" w:rsidRPr="00FA5AC6" w:rsidRDefault="00A06140" w:rsidP="00FA5AC6">
      <w:pPr>
        <w:rPr>
          <w:sz w:val="22"/>
          <w:lang w:val="en-CA"/>
        </w:rPr>
      </w:pPr>
      <w:r w:rsidRPr="00FA5AC6">
        <w:rPr>
          <w:noProof/>
          <w:sz w:val="22"/>
          <w:lang w:val="en-CA"/>
        </w:rPr>
        <mc:AlternateContent>
          <mc:Choice Requires="wps">
            <w:drawing>
              <wp:anchor distT="45720" distB="45720" distL="114300" distR="114300" simplePos="0" relativeHeight="251659264" behindDoc="0" locked="0" layoutInCell="1" allowOverlap="1" wp14:anchorId="02193F1C" wp14:editId="25043659">
                <wp:simplePos x="0" y="0"/>
                <wp:positionH relativeFrom="column">
                  <wp:posOffset>356235</wp:posOffset>
                </wp:positionH>
                <wp:positionV relativeFrom="paragraph">
                  <wp:posOffset>8255</wp:posOffset>
                </wp:positionV>
                <wp:extent cx="5038725" cy="10668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1066800"/>
                        </a:xfrm>
                        <a:prstGeom prst="rect">
                          <a:avLst/>
                        </a:prstGeom>
                        <a:solidFill>
                          <a:srgbClr val="FFFFFF"/>
                        </a:solidFill>
                        <a:ln w="9525">
                          <a:solidFill>
                            <a:srgbClr val="000000"/>
                          </a:solidFill>
                          <a:miter lim="800000"/>
                          <a:headEnd/>
                          <a:tailEnd/>
                        </a:ln>
                      </wps:spPr>
                      <wps:txbx>
                        <w:txbxContent>
                          <w:p w14:paraId="4A24C20C" w14:textId="77777777" w:rsidR="002A2ECE" w:rsidRDefault="002A2ECE" w:rsidP="00A06140">
                            <w:pPr>
                              <w:spacing w:after="120"/>
                              <w:rPr>
                                <w:rFonts w:ascii="Arial" w:hAnsi="Arial" w:cs="Arial"/>
                                <w:b/>
                              </w:rPr>
                            </w:pPr>
                            <w:r>
                              <w:rPr>
                                <w:rFonts w:ascii="Arial" w:hAnsi="Arial" w:cs="Arial"/>
                                <w:b/>
                              </w:rPr>
                              <w:t>2. Actions:</w:t>
                            </w:r>
                          </w:p>
                          <w:p w14:paraId="7F352BBC" w14:textId="002D72A0" w:rsidR="002A2ECE" w:rsidRDefault="002A2ECE" w:rsidP="00A06140">
                            <w:pPr>
                              <w:spacing w:after="120"/>
                              <w:jc w:val="both"/>
                              <w:rPr>
                                <w:rFonts w:ascii="Arial" w:eastAsia="MS Mincho" w:hAnsi="Arial" w:cs="Arial"/>
                                <w:iCs/>
                                <w:lang w:eastAsia="ja-JP"/>
                              </w:rPr>
                            </w:pPr>
                            <w:r>
                              <w:rPr>
                                <w:rFonts w:ascii="Arial" w:eastAsia="MS Mincho" w:hAnsi="Arial" w:cs="Arial"/>
                                <w:iCs/>
                                <w:lang w:eastAsia="ja-JP"/>
                              </w:rPr>
                              <w:t>[…]</w:t>
                            </w:r>
                          </w:p>
                          <w:p w14:paraId="35DBC249" w14:textId="77777777" w:rsidR="002A2ECE" w:rsidRPr="001661A8" w:rsidRDefault="002A2ECE" w:rsidP="00A06140">
                            <w:pPr>
                              <w:spacing w:after="120"/>
                              <w:jc w:val="both"/>
                              <w:rPr>
                                <w:rFonts w:ascii="Arial" w:eastAsia="MS Mincho" w:hAnsi="Arial" w:cs="Arial"/>
                                <w:iCs/>
                                <w:lang w:eastAsia="ja-JP"/>
                              </w:rPr>
                            </w:pPr>
                            <w:r>
                              <w:rPr>
                                <w:rFonts w:ascii="Arial" w:eastAsia="MS Mincho" w:hAnsi="Arial" w:cs="Arial"/>
                                <w:iCs/>
                                <w:lang w:eastAsia="ja-JP"/>
                              </w:rPr>
                              <w:t xml:space="preserve">RAN1 also kindly asks RAN4 to study whether it is needed to update the definition of NRSSI measurement </w:t>
                            </w:r>
                            <w:r w:rsidRPr="00873867">
                              <w:rPr>
                                <w:rFonts w:ascii="Arial" w:eastAsia="MS Mincho" w:hAnsi="Arial" w:cs="Arial"/>
                                <w:iCs/>
                                <w:lang w:eastAsia="ja-JP"/>
                              </w:rPr>
                              <w:t xml:space="preserve">in </w:t>
                            </w:r>
                            <w:r>
                              <w:rPr>
                                <w:rFonts w:ascii="Arial" w:eastAsia="MS Mincho" w:hAnsi="Arial" w:cs="Arial"/>
                                <w:iCs/>
                                <w:lang w:eastAsia="ja-JP"/>
                              </w:rPr>
                              <w:t xml:space="preserve">the calculation of </w:t>
                            </w:r>
                            <w:r w:rsidRPr="00873867">
                              <w:rPr>
                                <w:rFonts w:ascii="Arial" w:eastAsia="MS Mincho" w:hAnsi="Arial" w:cs="Arial"/>
                                <w:iCs/>
                                <w:lang w:eastAsia="ja-JP"/>
                              </w:rPr>
                              <w:t>NRSRQ when NSSS is used for NRSRQ measurements</w:t>
                            </w:r>
                            <w:r>
                              <w:rPr>
                                <w:rFonts w:ascii="Arial" w:eastAsia="MS Mincho" w:hAnsi="Arial" w:cs="Arial"/>
                                <w:iCs/>
                                <w:lang w:eastAsia="ja-JP"/>
                              </w:rPr>
                              <w:t xml:space="preserve">. If so, how to update the definition of NRSSI measurements. </w:t>
                            </w:r>
                          </w:p>
                          <w:p w14:paraId="6EE8FEB1" w14:textId="77777777" w:rsidR="002A2ECE" w:rsidRPr="00EE3A43" w:rsidRDefault="002A2ECE" w:rsidP="00A06140">
                            <w:pPr>
                              <w:spacing w:after="0"/>
                              <w:jc w:val="both"/>
                              <w:rPr>
                                <w:rFonts w:ascii="Arial" w:eastAsia="MS Mincho" w:hAnsi="Arial" w:cs="Arial"/>
                                <w:iCs/>
                                <w:lang w:eastAsia="ja-JP"/>
                              </w:rPr>
                            </w:pPr>
                          </w:p>
                          <w:p w14:paraId="307E62DC" w14:textId="77777777" w:rsidR="002A2ECE" w:rsidRPr="00FA5AC6" w:rsidRDefault="002A2ECE">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93F1C" id="_x0000_t202" coordsize="21600,21600" o:spt="202" path="m,l,21600r21600,l21600,xe">
                <v:stroke joinstyle="miter"/>
                <v:path gradientshapeok="t" o:connecttype="rect"/>
              </v:shapetype>
              <v:shape id="Text Box 2" o:spid="_x0000_s1026" type="#_x0000_t202" style="position:absolute;margin-left:28.05pt;margin-top:.65pt;width:396.75pt;height:8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">
                <v:textbox>
                  <w:txbxContent>
                    <w:p w14:paraId="4A24C20C" w14:textId="77777777" w:rsidR="002A2ECE" w:rsidRDefault="002A2ECE" w:rsidP="00A06140">
                      <w:pPr>
                        <w:spacing w:after="120"/>
                        <w:rPr>
                          <w:rFonts w:ascii="Arial" w:hAnsi="Arial" w:cs="Arial"/>
                          <w:b/>
                        </w:rPr>
                      </w:pPr>
                      <w:r>
                        <w:rPr>
                          <w:rFonts w:ascii="Arial" w:hAnsi="Arial" w:cs="Arial"/>
                          <w:b/>
                        </w:rPr>
                        <w:t>2. Actions:</w:t>
                      </w:r>
                    </w:p>
                    <w:p w14:paraId="7F352BBC" w14:textId="002D72A0" w:rsidR="002A2ECE" w:rsidRDefault="002A2ECE" w:rsidP="00A06140">
                      <w:pPr>
                        <w:spacing w:after="120"/>
                        <w:jc w:val="both"/>
                        <w:rPr>
                          <w:rFonts w:ascii="Arial" w:eastAsia="MS Mincho" w:hAnsi="Arial" w:cs="Arial"/>
                          <w:iCs/>
                          <w:lang w:eastAsia="ja-JP"/>
                        </w:rPr>
                      </w:pPr>
                      <w:r>
                        <w:rPr>
                          <w:rFonts w:ascii="Arial" w:eastAsia="MS Mincho" w:hAnsi="Arial" w:cs="Arial"/>
                          <w:iCs/>
                          <w:lang w:eastAsia="ja-JP"/>
                        </w:rPr>
                        <w:t>[…]</w:t>
                      </w:r>
                    </w:p>
                    <w:p w14:paraId="35DBC249" w14:textId="77777777" w:rsidR="002A2ECE" w:rsidRPr="001661A8" w:rsidRDefault="002A2ECE" w:rsidP="00A06140">
                      <w:pPr>
                        <w:spacing w:after="120"/>
                        <w:jc w:val="both"/>
                        <w:rPr>
                          <w:rFonts w:ascii="Arial" w:eastAsia="MS Mincho" w:hAnsi="Arial" w:cs="Arial"/>
                          <w:iCs/>
                          <w:lang w:eastAsia="ja-JP"/>
                        </w:rPr>
                      </w:pPr>
                      <w:r>
                        <w:rPr>
                          <w:rFonts w:ascii="Arial" w:eastAsia="MS Mincho" w:hAnsi="Arial" w:cs="Arial"/>
                          <w:iCs/>
                          <w:lang w:eastAsia="ja-JP"/>
                        </w:rPr>
                        <w:t xml:space="preserve">RAN1 also kindly asks RAN4 to study whether it is needed to update the definition of NRSSI measurement </w:t>
                      </w:r>
                      <w:r w:rsidRPr="00873867">
                        <w:rPr>
                          <w:rFonts w:ascii="Arial" w:eastAsia="MS Mincho" w:hAnsi="Arial" w:cs="Arial"/>
                          <w:iCs/>
                          <w:lang w:eastAsia="ja-JP"/>
                        </w:rPr>
                        <w:t xml:space="preserve">in </w:t>
                      </w:r>
                      <w:r>
                        <w:rPr>
                          <w:rFonts w:ascii="Arial" w:eastAsia="MS Mincho" w:hAnsi="Arial" w:cs="Arial"/>
                          <w:iCs/>
                          <w:lang w:eastAsia="ja-JP"/>
                        </w:rPr>
                        <w:t xml:space="preserve">the calculation of </w:t>
                      </w:r>
                      <w:r w:rsidRPr="00873867">
                        <w:rPr>
                          <w:rFonts w:ascii="Arial" w:eastAsia="MS Mincho" w:hAnsi="Arial" w:cs="Arial"/>
                          <w:iCs/>
                          <w:lang w:eastAsia="ja-JP"/>
                        </w:rPr>
                        <w:t>NRSRQ when NSSS is used for NRSRQ measurements</w:t>
                      </w:r>
                      <w:r>
                        <w:rPr>
                          <w:rFonts w:ascii="Arial" w:eastAsia="MS Mincho" w:hAnsi="Arial" w:cs="Arial"/>
                          <w:iCs/>
                          <w:lang w:eastAsia="ja-JP"/>
                        </w:rPr>
                        <w:t xml:space="preserve">. If so, how to update the definition of NRSSI measurements. </w:t>
                      </w:r>
                    </w:p>
                    <w:p w14:paraId="6EE8FEB1" w14:textId="77777777" w:rsidR="002A2ECE" w:rsidRPr="00EE3A43" w:rsidRDefault="002A2ECE" w:rsidP="00A06140">
                      <w:pPr>
                        <w:spacing w:after="0"/>
                        <w:jc w:val="both"/>
                        <w:rPr>
                          <w:rFonts w:ascii="Arial" w:eastAsia="MS Mincho" w:hAnsi="Arial" w:cs="Arial"/>
                          <w:iCs/>
                          <w:lang w:eastAsia="ja-JP"/>
                        </w:rPr>
                      </w:pPr>
                    </w:p>
                    <w:p w14:paraId="307E62DC" w14:textId="77777777" w:rsidR="002A2ECE" w:rsidRPr="00FA5AC6" w:rsidRDefault="002A2ECE">
                      <w:pPr>
                        <w:rPr>
                          <w:sz w:val="16"/>
                        </w:rPr>
                      </w:pPr>
                    </w:p>
                  </w:txbxContent>
                </v:textbox>
                <w10:wrap type="square"/>
              </v:shape>
            </w:pict>
          </mc:Fallback>
        </mc:AlternateContent>
      </w:r>
    </w:p>
    <w:p w14:paraId="3E8B86E0" w14:textId="3E000646" w:rsidR="00FA5AC6" w:rsidRDefault="00FA5AC6" w:rsidP="00FA5AC6">
      <w:pPr>
        <w:rPr>
          <w:lang w:val="en-CA"/>
        </w:rPr>
      </w:pPr>
    </w:p>
    <w:p w14:paraId="09C22402" w14:textId="77777777" w:rsidR="00FA5AC6" w:rsidRDefault="00FA5AC6" w:rsidP="00FA5AC6">
      <w:pPr>
        <w:rPr>
          <w:lang w:val="en-CA"/>
        </w:rPr>
      </w:pPr>
    </w:p>
    <w:p w14:paraId="77EC1207" w14:textId="77777777" w:rsidR="00FA5AC6" w:rsidRDefault="00FA5AC6" w:rsidP="00FA5AC6">
      <w:pPr>
        <w:rPr>
          <w:lang w:val="en-CA"/>
        </w:rPr>
      </w:pPr>
    </w:p>
    <w:p w14:paraId="367C8450" w14:textId="00A72043" w:rsidR="00FA5AC6" w:rsidRDefault="00FA5AC6" w:rsidP="00FA5AC6">
      <w:pPr>
        <w:rPr>
          <w:lang w:val="en-CA"/>
        </w:rPr>
      </w:pPr>
    </w:p>
    <w:p w14:paraId="702C6A15" w14:textId="15BC6F93" w:rsidR="000E40BC" w:rsidRPr="001A62A1" w:rsidRDefault="002A2ECE" w:rsidP="00FA5AC6">
      <w:pPr>
        <w:rPr>
          <w:sz w:val="22"/>
          <w:lang w:val="en-CA"/>
        </w:rPr>
      </w:pPr>
      <w:r>
        <w:rPr>
          <w:sz w:val="22"/>
          <w:lang w:val="en-CA"/>
        </w:rPr>
        <w:t xml:space="preserve">In this contribution we </w:t>
      </w:r>
      <w:r w:rsidR="00261FCA">
        <w:rPr>
          <w:sz w:val="22"/>
          <w:lang w:val="en-CA"/>
        </w:rPr>
        <w:t xml:space="preserve">revisit the recent discussions regarding the NRSRQ measurement definition when NSSS is used and propose an investigation on the UE power consumption to bring clarity on whether it would be justified to change the NRSRQ measurement definition.  </w:t>
      </w:r>
    </w:p>
    <w:p w14:paraId="54CC0A9B" w14:textId="19D736B0" w:rsidR="0089497E" w:rsidRDefault="00FF6031" w:rsidP="0089497E">
      <w:pPr>
        <w:pStyle w:val="Heading1"/>
        <w:ind w:left="431" w:hanging="431"/>
        <w:rPr>
          <w:szCs w:val="36"/>
          <w:lang w:val="en-CA"/>
        </w:rPr>
      </w:pPr>
      <w:r>
        <w:rPr>
          <w:szCs w:val="36"/>
          <w:lang w:val="en-CA"/>
        </w:rPr>
        <w:t>Discussion</w:t>
      </w:r>
    </w:p>
    <w:p w14:paraId="05704D83" w14:textId="5DE4E589" w:rsidR="005E0E32" w:rsidRDefault="00E54F04" w:rsidP="005E0E32">
      <w:pPr>
        <w:jc w:val="both"/>
        <w:rPr>
          <w:sz w:val="22"/>
          <w:lang w:val="en-CA"/>
        </w:rPr>
      </w:pPr>
      <w:r>
        <w:rPr>
          <w:sz w:val="22"/>
          <w:lang w:val="en-CA"/>
        </w:rPr>
        <w:t>The two metrics RSRQ and RS-SINR have been discussed extensively during the specification work of earlier releases. RSRQ was introduced already in Rel-8, whereas RS-SINR was introduced as late as in Rel-13. When RS-SINR was introduced, it was still deemed that RSRQ was needed for mobility measurements and particularly for idle mode mobility. This since in idle mode, the mobility is UE-controlled, and if only measuring RS-SINR the UE would not have any information on the load condition in the potential target cell.</w:t>
      </w:r>
      <w:r w:rsidR="00E43C58">
        <w:rPr>
          <w:sz w:val="22"/>
          <w:lang w:val="en-CA"/>
        </w:rPr>
        <w:t xml:space="preserve"> Both quantities are based on ratios with RSRP in the numerator, but the power calculations in the denominator differ. Particularly, for RS-SINR, the power calculation in the denominator </w:t>
      </w:r>
      <w:r w:rsidR="005E0E32">
        <w:rPr>
          <w:sz w:val="22"/>
          <w:lang w:val="en-CA"/>
        </w:rPr>
        <w:t>is carried out over the same REs for which RSRP is calculated, whereas for RSRQ, also those REs that are available for allocations are included.</w:t>
      </w:r>
    </w:p>
    <w:p w14:paraId="3D1368D0" w14:textId="7DF485EC" w:rsidR="005E0E32" w:rsidRDefault="005E0E32" w:rsidP="005E0E32">
      <w:pPr>
        <w:jc w:val="both"/>
        <w:rPr>
          <w:sz w:val="22"/>
          <w:lang w:val="en-CA"/>
        </w:rPr>
      </w:pPr>
      <w:r>
        <w:rPr>
          <w:sz w:val="22"/>
          <w:lang w:val="en-CA"/>
        </w:rPr>
        <w:t xml:space="preserve">NRSRQ based on NRS shares the properties of RSRQ, whereas NRSRQ based on NSSS shares the properties of RS-SINR since in subframes transmitting NSSS there are no </w:t>
      </w:r>
      <w:r w:rsidR="00D95E0B">
        <w:rPr>
          <w:sz w:val="22"/>
          <w:lang w:val="en-CA"/>
        </w:rPr>
        <w:t>REs</w:t>
      </w:r>
      <w:r>
        <w:rPr>
          <w:sz w:val="22"/>
          <w:lang w:val="en-CA"/>
        </w:rPr>
        <w:t xml:space="preserve"> available for allocations. </w:t>
      </w:r>
    </w:p>
    <w:p w14:paraId="33D68AB4" w14:textId="3C11E01F" w:rsidR="005E0E32" w:rsidRDefault="00D95E0B" w:rsidP="005E0E32">
      <w:pPr>
        <w:jc w:val="both"/>
        <w:rPr>
          <w:sz w:val="22"/>
          <w:lang w:val="en-CA"/>
        </w:rPr>
      </w:pPr>
      <w:r>
        <w:rPr>
          <w:sz w:val="22"/>
          <w:lang w:val="en-CA"/>
        </w:rPr>
        <w:t xml:space="preserve">As discussed in </w:t>
      </w:r>
      <w:r>
        <w:rPr>
          <w:sz w:val="22"/>
          <w:lang w:val="en-CA"/>
        </w:rPr>
        <w:fldChar w:fldCharType="begin"/>
      </w:r>
      <w:r>
        <w:rPr>
          <w:sz w:val="22"/>
          <w:lang w:val="en-CA"/>
        </w:rPr>
        <w:instrText xml:space="preserve"> REF _Ref514092667 \r \h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 xml:space="preserve"> – </w:t>
      </w:r>
      <w:r>
        <w:rPr>
          <w:sz w:val="22"/>
          <w:lang w:val="en-CA"/>
        </w:rPr>
        <w:fldChar w:fldCharType="begin"/>
      </w:r>
      <w:r>
        <w:rPr>
          <w:sz w:val="22"/>
          <w:lang w:val="en-CA"/>
        </w:rPr>
        <w:instrText xml:space="preserve"> REF _Ref514092671 \r \h </w:instrText>
      </w:r>
      <w:r>
        <w:rPr>
          <w:sz w:val="22"/>
          <w:lang w:val="en-CA"/>
        </w:rPr>
      </w:r>
      <w:r>
        <w:rPr>
          <w:sz w:val="22"/>
          <w:lang w:val="en-CA"/>
        </w:rPr>
        <w:fldChar w:fldCharType="separate"/>
      </w:r>
      <w:r>
        <w:rPr>
          <w:sz w:val="22"/>
          <w:lang w:val="en-CA"/>
        </w:rPr>
        <w:t>[5]</w:t>
      </w:r>
      <w:r>
        <w:rPr>
          <w:sz w:val="22"/>
          <w:lang w:val="en-CA"/>
        </w:rPr>
        <w:fldChar w:fldCharType="end"/>
      </w:r>
      <w:r>
        <w:rPr>
          <w:sz w:val="22"/>
          <w:lang w:val="en-CA"/>
        </w:rPr>
        <w:t xml:space="preserve">, and above, when deriving NRSRQ based on NSSS there may be a bias compared to when the same quantity is derived based on NRS. Particularly, when deriving NRSRQ based on NSSS, the load conditions in the target cell will not be </w:t>
      </w:r>
      <w:r w:rsidR="00D154D6">
        <w:rPr>
          <w:sz w:val="22"/>
          <w:lang w:val="en-CA"/>
        </w:rPr>
        <w:t xml:space="preserve">visible to the UE. As discussed in </w:t>
      </w:r>
      <w:r w:rsidR="00D154D6">
        <w:rPr>
          <w:sz w:val="22"/>
          <w:lang w:val="en-CA"/>
        </w:rPr>
        <w:fldChar w:fldCharType="begin"/>
      </w:r>
      <w:r w:rsidR="00D154D6">
        <w:rPr>
          <w:sz w:val="22"/>
          <w:lang w:val="en-CA"/>
        </w:rPr>
        <w:instrText xml:space="preserve"> REF _Ref514093124 \r \h </w:instrText>
      </w:r>
      <w:r w:rsidR="00D154D6">
        <w:rPr>
          <w:sz w:val="22"/>
          <w:lang w:val="en-CA"/>
        </w:rPr>
      </w:r>
      <w:r w:rsidR="00D154D6">
        <w:rPr>
          <w:sz w:val="22"/>
          <w:lang w:val="en-CA"/>
        </w:rPr>
        <w:fldChar w:fldCharType="separate"/>
      </w:r>
      <w:r w:rsidR="00D154D6">
        <w:rPr>
          <w:sz w:val="22"/>
          <w:lang w:val="en-CA"/>
        </w:rPr>
        <w:t>[4]</w:t>
      </w:r>
      <w:r w:rsidR="00D154D6">
        <w:rPr>
          <w:sz w:val="22"/>
          <w:lang w:val="en-CA"/>
        </w:rPr>
        <w:fldChar w:fldCharType="end"/>
      </w:r>
      <w:r w:rsidR="00D154D6">
        <w:rPr>
          <w:sz w:val="22"/>
          <w:lang w:val="en-CA"/>
        </w:rPr>
        <w:t xml:space="preserve">, one option would be to carry out the power calculations for the denominator </w:t>
      </w:r>
      <w:r w:rsidR="0065263C">
        <w:rPr>
          <w:sz w:val="22"/>
          <w:lang w:val="en-CA"/>
        </w:rPr>
        <w:t xml:space="preserve">(NRSSI) </w:t>
      </w:r>
      <w:r w:rsidR="00D154D6">
        <w:rPr>
          <w:sz w:val="22"/>
          <w:lang w:val="en-CA"/>
        </w:rPr>
        <w:t>in another subframe than the one carrying NSSS</w:t>
      </w:r>
      <w:r w:rsidR="00AE33CD">
        <w:rPr>
          <w:sz w:val="22"/>
          <w:lang w:val="en-CA"/>
        </w:rPr>
        <w:t xml:space="preserve"> (or NPSS, NPBCH)</w:t>
      </w:r>
      <w:r w:rsidR="00D154D6">
        <w:rPr>
          <w:sz w:val="22"/>
          <w:lang w:val="en-CA"/>
        </w:rPr>
        <w:t>, but it would come at the expense of increased radio time and hence increased UE power consumption.</w:t>
      </w:r>
      <w:r w:rsidR="00E72753">
        <w:rPr>
          <w:sz w:val="22"/>
          <w:lang w:val="en-CA"/>
        </w:rPr>
        <w:t xml:space="preserve"> As further discussed in </w:t>
      </w:r>
      <w:r w:rsidR="00E72753">
        <w:rPr>
          <w:sz w:val="22"/>
          <w:lang w:val="en-CA"/>
        </w:rPr>
        <w:fldChar w:fldCharType="begin"/>
      </w:r>
      <w:r w:rsidR="00E72753">
        <w:rPr>
          <w:sz w:val="22"/>
          <w:lang w:val="en-CA"/>
        </w:rPr>
        <w:instrText xml:space="preserve"> REF _Ref514093124 \r \h </w:instrText>
      </w:r>
      <w:r w:rsidR="00E72753">
        <w:rPr>
          <w:sz w:val="22"/>
          <w:lang w:val="en-CA"/>
        </w:rPr>
      </w:r>
      <w:r w:rsidR="00E72753">
        <w:rPr>
          <w:sz w:val="22"/>
          <w:lang w:val="en-CA"/>
        </w:rPr>
        <w:fldChar w:fldCharType="separate"/>
      </w:r>
      <w:r w:rsidR="00E72753">
        <w:rPr>
          <w:sz w:val="22"/>
          <w:lang w:val="en-CA"/>
        </w:rPr>
        <w:t>[4]</w:t>
      </w:r>
      <w:r w:rsidR="00E72753">
        <w:rPr>
          <w:sz w:val="22"/>
          <w:lang w:val="en-CA"/>
        </w:rPr>
        <w:fldChar w:fldCharType="end"/>
      </w:r>
      <w:r w:rsidR="00E72753">
        <w:rPr>
          <w:sz w:val="22"/>
          <w:lang w:val="en-CA"/>
        </w:rPr>
        <w:t>, the consequence is that the UE overestimate</w:t>
      </w:r>
      <w:r w:rsidR="0065263C">
        <w:rPr>
          <w:sz w:val="22"/>
          <w:lang w:val="en-CA"/>
        </w:rPr>
        <w:t>s</w:t>
      </w:r>
      <w:r w:rsidR="00E72753">
        <w:rPr>
          <w:sz w:val="22"/>
          <w:lang w:val="en-CA"/>
        </w:rPr>
        <w:t xml:space="preserve"> the load in the potential target cell</w:t>
      </w:r>
      <w:r w:rsidR="0065263C">
        <w:rPr>
          <w:sz w:val="22"/>
          <w:lang w:val="en-CA"/>
        </w:rPr>
        <w:t xml:space="preserve"> for camping</w:t>
      </w:r>
      <w:r w:rsidR="00E72753">
        <w:rPr>
          <w:sz w:val="22"/>
          <w:lang w:val="en-CA"/>
        </w:rPr>
        <w:t>.</w:t>
      </w:r>
    </w:p>
    <w:p w14:paraId="4DA43164" w14:textId="1D64C2F1" w:rsidR="0065263C" w:rsidRDefault="0065263C" w:rsidP="005E0E32">
      <w:pPr>
        <w:jc w:val="both"/>
        <w:rPr>
          <w:sz w:val="22"/>
          <w:lang w:val="en-CA"/>
        </w:rPr>
      </w:pPr>
      <w:r>
        <w:rPr>
          <w:sz w:val="22"/>
          <w:lang w:val="en-CA"/>
        </w:rPr>
        <w:t>One question that needs to be addressed before deciding whether it would be justified to have UEs measuring NRSSI in another subframe than the subframe carrying NSSS concerns what impact – if any – it will have on the UE power consumption if the UE carries out random access towards a fully loaded cell compared to doing the same towards a l</w:t>
      </w:r>
      <w:r w:rsidR="00A9671F">
        <w:rPr>
          <w:sz w:val="22"/>
          <w:lang w:val="en-CA"/>
        </w:rPr>
        <w:t>ess</w:t>
      </w:r>
      <w:r>
        <w:rPr>
          <w:sz w:val="22"/>
          <w:lang w:val="en-CA"/>
        </w:rPr>
        <w:t xml:space="preserve"> loaded </w:t>
      </w:r>
      <w:r w:rsidR="00A9671F">
        <w:rPr>
          <w:sz w:val="22"/>
          <w:lang w:val="en-CA"/>
        </w:rPr>
        <w:t xml:space="preserve">but equally strongly received </w:t>
      </w:r>
      <w:r>
        <w:rPr>
          <w:sz w:val="22"/>
          <w:lang w:val="en-CA"/>
        </w:rPr>
        <w:t>cell.</w:t>
      </w:r>
    </w:p>
    <w:p w14:paraId="27A9200F" w14:textId="202C8ED3" w:rsidR="00AE3D62" w:rsidRPr="002A2ECE" w:rsidRDefault="0065263C" w:rsidP="002A2ECE">
      <w:pPr>
        <w:jc w:val="both"/>
        <w:rPr>
          <w:sz w:val="22"/>
          <w:lang w:val="en-CA"/>
        </w:rPr>
      </w:pPr>
      <w:r>
        <w:rPr>
          <w:b/>
          <w:sz w:val="22"/>
          <w:lang w:val="en-CA"/>
        </w:rPr>
        <w:lastRenderedPageBreak/>
        <w:t>Proposal 1:</w:t>
      </w:r>
      <w:r w:rsidR="00A9671F">
        <w:rPr>
          <w:sz w:val="22"/>
          <w:lang w:val="en-CA"/>
        </w:rPr>
        <w:t xml:space="preserve"> The </w:t>
      </w:r>
      <w:r>
        <w:rPr>
          <w:sz w:val="22"/>
          <w:lang w:val="en-CA"/>
        </w:rPr>
        <w:t xml:space="preserve">consequences </w:t>
      </w:r>
      <w:r w:rsidR="00A9671F">
        <w:rPr>
          <w:sz w:val="22"/>
          <w:lang w:val="en-CA"/>
        </w:rPr>
        <w:t>– if any – on the UE power consumption when the UE carries out random access towards a fully loaded cell when there is a less loaded but equally strongly received neighbour cell available, shall be investigated. The analysis may clarify whether it would be beneficial to calculate NRSSI over another subframe than the one carrying NSSS.</w:t>
      </w:r>
    </w:p>
    <w:p w14:paraId="0E33708A" w14:textId="6E8D09B6" w:rsidR="005A345C" w:rsidRDefault="00990154" w:rsidP="00990154">
      <w:pPr>
        <w:pStyle w:val="Heading1"/>
        <w:rPr>
          <w:lang w:val="en-CA"/>
        </w:rPr>
      </w:pPr>
      <w:r>
        <w:rPr>
          <w:lang w:val="en-CA"/>
        </w:rPr>
        <w:t>Summary</w:t>
      </w:r>
      <w:r w:rsidR="0050366D">
        <w:rPr>
          <w:lang w:val="en-CA"/>
        </w:rPr>
        <w:t xml:space="preserve"> and Conclusions</w:t>
      </w:r>
    </w:p>
    <w:p w14:paraId="7FBAF1F6" w14:textId="77777777" w:rsidR="002A2ECE" w:rsidRDefault="002A2ECE" w:rsidP="002A2ECE">
      <w:pPr>
        <w:rPr>
          <w:sz w:val="22"/>
          <w:lang w:val="en-CA"/>
        </w:rPr>
      </w:pPr>
      <w:r>
        <w:rPr>
          <w:sz w:val="22"/>
          <w:lang w:val="en-CA"/>
        </w:rPr>
        <w:t>In this contribution we have revisited the recent discussions regarding the NRSRQ measurement definition when NRSRQ is based on NSSS, and propose the following:</w:t>
      </w:r>
    </w:p>
    <w:p w14:paraId="24D60E43" w14:textId="7DA19ECE" w:rsidR="002A2ECE" w:rsidRPr="002A2ECE" w:rsidRDefault="002A2ECE" w:rsidP="002A2ECE">
      <w:pPr>
        <w:rPr>
          <w:sz w:val="22"/>
          <w:lang w:val="en-CA"/>
        </w:rPr>
      </w:pPr>
      <w:r>
        <w:rPr>
          <w:b/>
          <w:sz w:val="22"/>
          <w:lang w:val="en-CA"/>
        </w:rPr>
        <w:t>Proposal 1:</w:t>
      </w:r>
      <w:r>
        <w:rPr>
          <w:sz w:val="22"/>
          <w:lang w:val="en-CA"/>
        </w:rPr>
        <w:t xml:space="preserve"> The consequences – if any – on the UE power consumption when the UE carries out random access towards a fully loaded cell when there is a less loaded but equally strongly received neighbour cell available, shall be investigated. The analysis may clarify whether it would be beneficial to calculate NRSSI over another subframe than the one carrying NSSS.</w:t>
      </w:r>
    </w:p>
    <w:p w14:paraId="74A3C5BC"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7CDBE71B" w14:textId="68B77E31" w:rsidR="00B1640C" w:rsidRPr="00B1640C" w:rsidRDefault="00B1640C" w:rsidP="00B1640C">
      <w:pPr>
        <w:numPr>
          <w:ilvl w:val="0"/>
          <w:numId w:val="9"/>
        </w:numPr>
        <w:tabs>
          <w:tab w:val="left" w:pos="851"/>
        </w:tabs>
        <w:rPr>
          <w:rFonts w:ascii="Arial" w:hAnsi="Arial" w:cs="Arial"/>
          <w:sz w:val="22"/>
          <w:szCs w:val="22"/>
          <w:lang w:val="en-CA"/>
        </w:rPr>
      </w:pPr>
      <w:bookmarkStart w:id="3" w:name="_Hlk513467191"/>
      <w:bookmarkStart w:id="4" w:name="_Ref513467375"/>
      <w:bookmarkStart w:id="5" w:name="_Ref514079035"/>
      <w:r>
        <w:rPr>
          <w:rFonts w:ascii="Arial" w:hAnsi="Arial" w:cs="Arial"/>
          <w:sz w:val="22"/>
          <w:szCs w:val="22"/>
          <w:lang w:val="en-CA"/>
        </w:rPr>
        <w:t>R4-1802788 “</w:t>
      </w:r>
      <w:r w:rsidRPr="00B1640C">
        <w:rPr>
          <w:rFonts w:ascii="Arial" w:hAnsi="Arial" w:cs="Arial"/>
          <w:sz w:val="22"/>
          <w:szCs w:val="22"/>
          <w:lang w:val="en-CA"/>
        </w:rPr>
        <w:t>LS on NSSS based NRSRP measurement definition</w:t>
      </w:r>
      <w:r>
        <w:rPr>
          <w:rFonts w:ascii="Arial" w:hAnsi="Arial" w:cs="Arial"/>
          <w:sz w:val="22"/>
          <w:szCs w:val="22"/>
          <w:lang w:val="en-CA"/>
        </w:rPr>
        <w:t>”, Nokia</w:t>
      </w:r>
      <w:bookmarkEnd w:id="5"/>
    </w:p>
    <w:p w14:paraId="5D040EBC" w14:textId="5D1B26E0" w:rsidR="004A6978" w:rsidRDefault="00AD4947" w:rsidP="00323216">
      <w:pPr>
        <w:numPr>
          <w:ilvl w:val="0"/>
          <w:numId w:val="9"/>
        </w:numPr>
        <w:tabs>
          <w:tab w:val="left" w:pos="851"/>
        </w:tabs>
        <w:rPr>
          <w:rFonts w:ascii="Arial" w:hAnsi="Arial" w:cs="Arial"/>
          <w:sz w:val="22"/>
          <w:szCs w:val="22"/>
          <w:lang w:val="en-CA"/>
        </w:rPr>
      </w:pPr>
      <w:bookmarkStart w:id="6" w:name="_Ref514079121"/>
      <w:r>
        <w:rPr>
          <w:rFonts w:ascii="Arial" w:hAnsi="Arial" w:cs="Arial"/>
          <w:sz w:val="22"/>
          <w:szCs w:val="22"/>
          <w:lang w:val="en-CA"/>
        </w:rPr>
        <w:t xml:space="preserve">R1-1805434 </w:t>
      </w:r>
      <w:bookmarkEnd w:id="3"/>
      <w:r>
        <w:rPr>
          <w:rFonts w:ascii="Arial" w:hAnsi="Arial" w:cs="Arial"/>
          <w:sz w:val="22"/>
          <w:szCs w:val="22"/>
          <w:lang w:val="en-CA"/>
        </w:rPr>
        <w:t>“</w:t>
      </w:r>
      <w:r w:rsidRPr="00AD4947">
        <w:rPr>
          <w:rFonts w:ascii="Arial" w:hAnsi="Arial" w:cs="Arial"/>
          <w:sz w:val="22"/>
          <w:szCs w:val="22"/>
          <w:lang w:val="en-CA"/>
        </w:rPr>
        <w:t>LS narrowband measurement accuracy improvements</w:t>
      </w:r>
      <w:r>
        <w:rPr>
          <w:rFonts w:ascii="Arial" w:hAnsi="Arial" w:cs="Arial"/>
          <w:sz w:val="22"/>
          <w:szCs w:val="22"/>
          <w:lang w:val="en-CA"/>
        </w:rPr>
        <w:t>”, RAN1</w:t>
      </w:r>
      <w:bookmarkEnd w:id="4"/>
      <w:bookmarkEnd w:id="6"/>
    </w:p>
    <w:p w14:paraId="75AF4F64" w14:textId="3A849FB4" w:rsidR="005C2645" w:rsidRDefault="005C2645" w:rsidP="005C2645">
      <w:pPr>
        <w:numPr>
          <w:ilvl w:val="0"/>
          <w:numId w:val="9"/>
        </w:numPr>
        <w:tabs>
          <w:tab w:val="left" w:pos="851"/>
        </w:tabs>
        <w:rPr>
          <w:rFonts w:ascii="Arial" w:hAnsi="Arial" w:cs="Arial"/>
          <w:sz w:val="22"/>
          <w:szCs w:val="22"/>
          <w:lang w:val="en-CA"/>
        </w:rPr>
      </w:pPr>
      <w:bookmarkStart w:id="7" w:name="_Ref514092667"/>
      <w:r>
        <w:rPr>
          <w:rFonts w:ascii="Arial" w:hAnsi="Arial" w:cs="Arial"/>
          <w:sz w:val="22"/>
          <w:szCs w:val="22"/>
          <w:lang w:val="en-CA"/>
        </w:rPr>
        <w:t>R4-1802787 “</w:t>
      </w:r>
      <w:r w:rsidRPr="005C2645">
        <w:rPr>
          <w:rFonts w:ascii="Arial" w:hAnsi="Arial" w:cs="Arial"/>
          <w:sz w:val="22"/>
          <w:szCs w:val="22"/>
          <w:lang w:val="en-CA"/>
        </w:rPr>
        <w:t>NRSRP and NRSRQ measurement metric definition</w:t>
      </w:r>
      <w:r>
        <w:rPr>
          <w:rFonts w:ascii="Arial" w:hAnsi="Arial" w:cs="Arial"/>
          <w:sz w:val="22"/>
          <w:szCs w:val="22"/>
          <w:lang w:val="en-CA"/>
        </w:rPr>
        <w:t>”, Nokia and Nokia Shanghai Bell</w:t>
      </w:r>
      <w:bookmarkEnd w:id="7"/>
    </w:p>
    <w:p w14:paraId="238C64DF" w14:textId="5E842B06" w:rsidR="00A06140" w:rsidRDefault="00A06140" w:rsidP="00F26095">
      <w:pPr>
        <w:numPr>
          <w:ilvl w:val="0"/>
          <w:numId w:val="9"/>
        </w:numPr>
        <w:tabs>
          <w:tab w:val="left" w:pos="851"/>
        </w:tabs>
        <w:rPr>
          <w:rFonts w:ascii="Arial" w:hAnsi="Arial" w:cs="Arial"/>
          <w:sz w:val="22"/>
          <w:szCs w:val="22"/>
          <w:lang w:val="en-CA"/>
        </w:rPr>
      </w:pPr>
      <w:bookmarkStart w:id="8" w:name="_Ref514093124"/>
      <w:r>
        <w:rPr>
          <w:rFonts w:ascii="Arial" w:hAnsi="Arial" w:cs="Arial"/>
          <w:sz w:val="22"/>
          <w:szCs w:val="22"/>
          <w:lang w:val="en-CA"/>
        </w:rPr>
        <w:t xml:space="preserve">R4-1804811 </w:t>
      </w:r>
      <w:r w:rsidR="00F26095">
        <w:rPr>
          <w:rFonts w:ascii="Arial" w:hAnsi="Arial" w:cs="Arial"/>
          <w:sz w:val="22"/>
          <w:szCs w:val="22"/>
          <w:lang w:val="en-CA"/>
        </w:rPr>
        <w:t>“</w:t>
      </w:r>
      <w:r w:rsidR="00F26095" w:rsidRPr="00F26095">
        <w:rPr>
          <w:rFonts w:ascii="Arial" w:hAnsi="Arial" w:cs="Arial"/>
          <w:sz w:val="22"/>
          <w:szCs w:val="22"/>
          <w:lang w:val="en-CA"/>
        </w:rPr>
        <w:t>Discussion on NSSS based RRM measurement</w:t>
      </w:r>
      <w:r w:rsidR="00F26095">
        <w:rPr>
          <w:rFonts w:ascii="Arial" w:hAnsi="Arial" w:cs="Arial"/>
          <w:sz w:val="22"/>
          <w:szCs w:val="22"/>
          <w:lang w:val="en-CA"/>
        </w:rPr>
        <w:t xml:space="preserve">”, </w:t>
      </w:r>
      <w:r>
        <w:rPr>
          <w:rFonts w:ascii="Arial" w:hAnsi="Arial" w:cs="Arial"/>
          <w:sz w:val="22"/>
          <w:szCs w:val="22"/>
          <w:lang w:val="en-CA"/>
        </w:rPr>
        <w:t>Huawei</w:t>
      </w:r>
      <w:r w:rsidR="00F26095">
        <w:rPr>
          <w:rFonts w:ascii="Arial" w:hAnsi="Arial" w:cs="Arial"/>
          <w:sz w:val="22"/>
          <w:szCs w:val="22"/>
          <w:lang w:val="en-CA"/>
        </w:rPr>
        <w:t xml:space="preserve">, </w:t>
      </w:r>
      <w:proofErr w:type="spellStart"/>
      <w:r w:rsidR="00F26095">
        <w:rPr>
          <w:rFonts w:ascii="Arial" w:hAnsi="Arial" w:cs="Arial"/>
          <w:sz w:val="22"/>
          <w:szCs w:val="22"/>
          <w:lang w:val="en-CA"/>
        </w:rPr>
        <w:t>HiSilicon</w:t>
      </w:r>
      <w:bookmarkEnd w:id="8"/>
      <w:proofErr w:type="spellEnd"/>
    </w:p>
    <w:p w14:paraId="1E205B38" w14:textId="3BB6CB03" w:rsidR="00A06140" w:rsidRDefault="00A06140" w:rsidP="00FA4432">
      <w:pPr>
        <w:numPr>
          <w:ilvl w:val="0"/>
          <w:numId w:val="9"/>
        </w:numPr>
        <w:tabs>
          <w:tab w:val="left" w:pos="851"/>
        </w:tabs>
        <w:rPr>
          <w:rFonts w:ascii="Arial" w:hAnsi="Arial" w:cs="Arial"/>
          <w:sz w:val="22"/>
          <w:szCs w:val="22"/>
          <w:lang w:val="en-CA"/>
        </w:rPr>
      </w:pPr>
      <w:bookmarkStart w:id="9" w:name="_Ref514092671"/>
      <w:r>
        <w:rPr>
          <w:rFonts w:ascii="Arial" w:hAnsi="Arial" w:cs="Arial"/>
          <w:sz w:val="22"/>
          <w:szCs w:val="22"/>
          <w:lang w:val="en-CA"/>
        </w:rPr>
        <w:t>R4-1</w:t>
      </w:r>
      <w:bookmarkStart w:id="10" w:name="_GoBack"/>
      <w:bookmarkEnd w:id="10"/>
      <w:r>
        <w:rPr>
          <w:rFonts w:ascii="Arial" w:hAnsi="Arial" w:cs="Arial"/>
          <w:sz w:val="22"/>
          <w:szCs w:val="22"/>
          <w:lang w:val="en-CA"/>
        </w:rPr>
        <w:t xml:space="preserve">805255 </w:t>
      </w:r>
      <w:r w:rsidR="00F26095">
        <w:rPr>
          <w:rFonts w:ascii="Arial" w:hAnsi="Arial" w:cs="Arial"/>
          <w:sz w:val="22"/>
          <w:szCs w:val="22"/>
          <w:lang w:val="en-CA"/>
        </w:rPr>
        <w:t>“</w:t>
      </w:r>
      <w:proofErr w:type="spellStart"/>
      <w:r w:rsidR="00FA4432" w:rsidRPr="00FA4432">
        <w:rPr>
          <w:rFonts w:ascii="Arial" w:hAnsi="Arial" w:cs="Arial"/>
          <w:sz w:val="22"/>
          <w:szCs w:val="22"/>
          <w:lang w:val="en-CA"/>
        </w:rPr>
        <w:t>feNB</w:t>
      </w:r>
      <w:proofErr w:type="spellEnd"/>
      <w:r w:rsidR="00FA4432" w:rsidRPr="00FA4432">
        <w:rPr>
          <w:rFonts w:ascii="Arial" w:hAnsi="Arial" w:cs="Arial"/>
          <w:sz w:val="22"/>
          <w:szCs w:val="22"/>
          <w:lang w:val="en-CA"/>
        </w:rPr>
        <w:t>-IoT NSSS requirements discussion</w:t>
      </w:r>
      <w:r w:rsidR="00F26095">
        <w:rPr>
          <w:rFonts w:ascii="Arial" w:hAnsi="Arial" w:cs="Arial"/>
          <w:sz w:val="22"/>
          <w:szCs w:val="22"/>
          <w:lang w:val="en-CA"/>
        </w:rPr>
        <w:t xml:space="preserve">”, </w:t>
      </w:r>
      <w:r>
        <w:rPr>
          <w:rFonts w:ascii="Arial" w:hAnsi="Arial" w:cs="Arial"/>
          <w:sz w:val="22"/>
          <w:szCs w:val="22"/>
          <w:lang w:val="en-CA"/>
        </w:rPr>
        <w:t>Nokia</w:t>
      </w:r>
      <w:bookmarkEnd w:id="9"/>
    </w:p>
    <w:sectPr w:rsidR="00A06140"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4CFB3" w14:textId="77777777" w:rsidR="00CA12E5" w:rsidRDefault="00CA12E5">
      <w:r>
        <w:separator/>
      </w:r>
    </w:p>
  </w:endnote>
  <w:endnote w:type="continuationSeparator" w:id="0">
    <w:p w14:paraId="2C7FBD04" w14:textId="77777777" w:rsidR="00CA12E5" w:rsidRDefault="00CA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2A2ECE" w:rsidRDefault="002A2EC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2A2ECE" w:rsidRDefault="002A2E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6A163E28" w:rsidR="002A2ECE" w:rsidRDefault="002A2EC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1FCA">
      <w:rPr>
        <w:rStyle w:val="PageNumber"/>
        <w:noProof/>
      </w:rPr>
      <w:t>1</w:t>
    </w:r>
    <w:r>
      <w:rPr>
        <w:rStyle w:val="PageNumber"/>
      </w:rPr>
      <w:fldChar w:fldCharType="end"/>
    </w:r>
  </w:p>
  <w:p w14:paraId="2CE5DAB0" w14:textId="77777777" w:rsidR="002A2ECE" w:rsidRDefault="002A2E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2A2ECE" w:rsidRDefault="002A2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80C9C" w14:textId="77777777" w:rsidR="00CA12E5" w:rsidRDefault="00CA12E5">
      <w:r>
        <w:separator/>
      </w:r>
    </w:p>
  </w:footnote>
  <w:footnote w:type="continuationSeparator" w:id="0">
    <w:p w14:paraId="41AA3CD8" w14:textId="77777777" w:rsidR="00CA12E5" w:rsidRDefault="00CA1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2A2ECE" w:rsidRDefault="002A2E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2A2ECE" w:rsidRDefault="002A2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2A2ECE" w:rsidRDefault="002A2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0007"/>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4E677F0"/>
    <w:multiLevelType w:val="hybridMultilevel"/>
    <w:tmpl w:val="F274CC52"/>
    <w:lvl w:ilvl="0" w:tplc="4614F3F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DD2AD1"/>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3A2B6C"/>
    <w:multiLevelType w:val="hybridMultilevel"/>
    <w:tmpl w:val="8DAEF1E2"/>
    <w:lvl w:ilvl="0" w:tplc="259E95B4">
      <w:start w:val="1"/>
      <w:numFmt w:val="decimal"/>
      <w:lvlText w:val="%1."/>
      <w:lvlJc w:val="left"/>
      <w:pPr>
        <w:ind w:left="360" w:hanging="360"/>
      </w:pPr>
      <w:rPr>
        <w:rFonts w:ascii="Arial" w:hAnsi="Arial" w:cs="Aria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2AB2324F"/>
    <w:multiLevelType w:val="hybridMultilevel"/>
    <w:tmpl w:val="948C6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FC2E45"/>
    <w:multiLevelType w:val="hybridMultilevel"/>
    <w:tmpl w:val="E7D459D6"/>
    <w:lvl w:ilvl="0" w:tplc="04090001">
      <w:start w:val="1"/>
      <w:numFmt w:val="bullet"/>
      <w:lvlText w:val=""/>
      <w:lvlJc w:val="left"/>
      <w:pPr>
        <w:tabs>
          <w:tab w:val="num" w:pos="360"/>
        </w:tabs>
        <w:ind w:left="360" w:hanging="360"/>
      </w:pPr>
      <w:rPr>
        <w:rFonts w:ascii="Symbol" w:hAnsi="Symbol" w:hint="default"/>
      </w:rPr>
    </w:lvl>
    <w:lvl w:ilvl="1" w:tplc="58A4EBCA" w:tentative="1">
      <w:start w:val="1"/>
      <w:numFmt w:val="bullet"/>
      <w:lvlText w:val="•"/>
      <w:lvlJc w:val="left"/>
      <w:pPr>
        <w:tabs>
          <w:tab w:val="num" w:pos="1080"/>
        </w:tabs>
        <w:ind w:left="1080" w:hanging="360"/>
      </w:pPr>
      <w:rPr>
        <w:rFonts w:ascii="Arial" w:hAnsi="Arial" w:hint="default"/>
      </w:rPr>
    </w:lvl>
    <w:lvl w:ilvl="2" w:tplc="520E6A5E" w:tentative="1">
      <w:start w:val="1"/>
      <w:numFmt w:val="bullet"/>
      <w:lvlText w:val="•"/>
      <w:lvlJc w:val="left"/>
      <w:pPr>
        <w:tabs>
          <w:tab w:val="num" w:pos="1800"/>
        </w:tabs>
        <w:ind w:left="1800" w:hanging="360"/>
      </w:pPr>
      <w:rPr>
        <w:rFonts w:ascii="Arial" w:hAnsi="Arial" w:hint="default"/>
      </w:rPr>
    </w:lvl>
    <w:lvl w:ilvl="3" w:tplc="323C87CE" w:tentative="1">
      <w:start w:val="1"/>
      <w:numFmt w:val="bullet"/>
      <w:lvlText w:val="•"/>
      <w:lvlJc w:val="left"/>
      <w:pPr>
        <w:tabs>
          <w:tab w:val="num" w:pos="2520"/>
        </w:tabs>
        <w:ind w:left="2520" w:hanging="360"/>
      </w:pPr>
      <w:rPr>
        <w:rFonts w:ascii="Arial" w:hAnsi="Arial" w:hint="default"/>
      </w:rPr>
    </w:lvl>
    <w:lvl w:ilvl="4" w:tplc="6D306AE0" w:tentative="1">
      <w:start w:val="1"/>
      <w:numFmt w:val="bullet"/>
      <w:lvlText w:val="•"/>
      <w:lvlJc w:val="left"/>
      <w:pPr>
        <w:tabs>
          <w:tab w:val="num" w:pos="3240"/>
        </w:tabs>
        <w:ind w:left="3240" w:hanging="360"/>
      </w:pPr>
      <w:rPr>
        <w:rFonts w:ascii="Arial" w:hAnsi="Arial" w:hint="default"/>
      </w:rPr>
    </w:lvl>
    <w:lvl w:ilvl="5" w:tplc="92AA024A" w:tentative="1">
      <w:start w:val="1"/>
      <w:numFmt w:val="bullet"/>
      <w:lvlText w:val="•"/>
      <w:lvlJc w:val="left"/>
      <w:pPr>
        <w:tabs>
          <w:tab w:val="num" w:pos="3960"/>
        </w:tabs>
        <w:ind w:left="3960" w:hanging="360"/>
      </w:pPr>
      <w:rPr>
        <w:rFonts w:ascii="Arial" w:hAnsi="Arial" w:hint="default"/>
      </w:rPr>
    </w:lvl>
    <w:lvl w:ilvl="6" w:tplc="52805200" w:tentative="1">
      <w:start w:val="1"/>
      <w:numFmt w:val="bullet"/>
      <w:lvlText w:val="•"/>
      <w:lvlJc w:val="left"/>
      <w:pPr>
        <w:tabs>
          <w:tab w:val="num" w:pos="4680"/>
        </w:tabs>
        <w:ind w:left="4680" w:hanging="360"/>
      </w:pPr>
      <w:rPr>
        <w:rFonts w:ascii="Arial" w:hAnsi="Arial" w:hint="default"/>
      </w:rPr>
    </w:lvl>
    <w:lvl w:ilvl="7" w:tplc="5DC016A8" w:tentative="1">
      <w:start w:val="1"/>
      <w:numFmt w:val="bullet"/>
      <w:lvlText w:val="•"/>
      <w:lvlJc w:val="left"/>
      <w:pPr>
        <w:tabs>
          <w:tab w:val="num" w:pos="5400"/>
        </w:tabs>
        <w:ind w:left="5400" w:hanging="360"/>
      </w:pPr>
      <w:rPr>
        <w:rFonts w:ascii="Arial" w:hAnsi="Arial" w:hint="default"/>
      </w:rPr>
    </w:lvl>
    <w:lvl w:ilvl="8" w:tplc="70CCD26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E77FA8"/>
    <w:multiLevelType w:val="hybridMultilevel"/>
    <w:tmpl w:val="4EB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4A0C07"/>
    <w:multiLevelType w:val="hybridMultilevel"/>
    <w:tmpl w:val="EF10D65C"/>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E12C1"/>
    <w:multiLevelType w:val="hybridMultilevel"/>
    <w:tmpl w:val="56043F46"/>
    <w:lvl w:ilvl="0" w:tplc="4614F3F8">
      <w:start w:val="1"/>
      <w:numFmt w:val="bullet"/>
      <w:lvlText w:val=""/>
      <w:lvlJc w:val="left"/>
      <w:pPr>
        <w:ind w:left="720" w:hanging="360"/>
      </w:pPr>
      <w:rPr>
        <w:rFonts w:ascii="Symbol" w:hAnsi="Symbol" w:hint="default"/>
        <w:color w:val="auto"/>
      </w:rPr>
    </w:lvl>
    <w:lvl w:ilvl="1" w:tplc="4614F3F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1B0426"/>
    <w:multiLevelType w:val="hybridMultilevel"/>
    <w:tmpl w:val="9F2278B2"/>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FA7C39"/>
    <w:multiLevelType w:val="hybridMultilevel"/>
    <w:tmpl w:val="AECE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32B1235"/>
    <w:multiLevelType w:val="hybridMultilevel"/>
    <w:tmpl w:val="6ED2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626E7"/>
    <w:multiLevelType w:val="hybridMultilevel"/>
    <w:tmpl w:val="28CA1BA0"/>
    <w:lvl w:ilvl="0" w:tplc="3E6E5DB0">
      <w:start w:val="1"/>
      <w:numFmt w:val="bullet"/>
      <w:lvlText w:val="•"/>
      <w:lvlJc w:val="left"/>
      <w:pPr>
        <w:tabs>
          <w:tab w:val="num" w:pos="720"/>
        </w:tabs>
        <w:ind w:left="720" w:hanging="360"/>
      </w:pPr>
      <w:rPr>
        <w:rFonts w:ascii="Arial" w:hAnsi="Arial" w:hint="default"/>
      </w:rPr>
    </w:lvl>
    <w:lvl w:ilvl="1" w:tplc="BC302688">
      <w:start w:val="52"/>
      <w:numFmt w:val="bullet"/>
      <w:lvlText w:val="–"/>
      <w:lvlJc w:val="left"/>
      <w:pPr>
        <w:tabs>
          <w:tab w:val="num" w:pos="1440"/>
        </w:tabs>
        <w:ind w:left="1440" w:hanging="360"/>
      </w:pPr>
      <w:rPr>
        <w:rFonts w:ascii="Arial" w:hAnsi="Arial" w:hint="default"/>
      </w:rPr>
    </w:lvl>
    <w:lvl w:ilvl="2" w:tplc="8AA09D3C" w:tentative="1">
      <w:start w:val="1"/>
      <w:numFmt w:val="bullet"/>
      <w:lvlText w:val="•"/>
      <w:lvlJc w:val="left"/>
      <w:pPr>
        <w:tabs>
          <w:tab w:val="num" w:pos="2160"/>
        </w:tabs>
        <w:ind w:left="2160" w:hanging="360"/>
      </w:pPr>
      <w:rPr>
        <w:rFonts w:ascii="Arial" w:hAnsi="Arial" w:hint="default"/>
      </w:rPr>
    </w:lvl>
    <w:lvl w:ilvl="3" w:tplc="87727F28" w:tentative="1">
      <w:start w:val="1"/>
      <w:numFmt w:val="bullet"/>
      <w:lvlText w:val="•"/>
      <w:lvlJc w:val="left"/>
      <w:pPr>
        <w:tabs>
          <w:tab w:val="num" w:pos="2880"/>
        </w:tabs>
        <w:ind w:left="2880" w:hanging="360"/>
      </w:pPr>
      <w:rPr>
        <w:rFonts w:ascii="Arial" w:hAnsi="Arial" w:hint="default"/>
      </w:rPr>
    </w:lvl>
    <w:lvl w:ilvl="4" w:tplc="B79ECDCE" w:tentative="1">
      <w:start w:val="1"/>
      <w:numFmt w:val="bullet"/>
      <w:lvlText w:val="•"/>
      <w:lvlJc w:val="left"/>
      <w:pPr>
        <w:tabs>
          <w:tab w:val="num" w:pos="3600"/>
        </w:tabs>
        <w:ind w:left="3600" w:hanging="360"/>
      </w:pPr>
      <w:rPr>
        <w:rFonts w:ascii="Arial" w:hAnsi="Arial" w:hint="default"/>
      </w:rPr>
    </w:lvl>
    <w:lvl w:ilvl="5" w:tplc="F02A2630" w:tentative="1">
      <w:start w:val="1"/>
      <w:numFmt w:val="bullet"/>
      <w:lvlText w:val="•"/>
      <w:lvlJc w:val="left"/>
      <w:pPr>
        <w:tabs>
          <w:tab w:val="num" w:pos="4320"/>
        </w:tabs>
        <w:ind w:left="4320" w:hanging="360"/>
      </w:pPr>
      <w:rPr>
        <w:rFonts w:ascii="Arial" w:hAnsi="Arial" w:hint="default"/>
      </w:rPr>
    </w:lvl>
    <w:lvl w:ilvl="6" w:tplc="5F641652" w:tentative="1">
      <w:start w:val="1"/>
      <w:numFmt w:val="bullet"/>
      <w:lvlText w:val="•"/>
      <w:lvlJc w:val="left"/>
      <w:pPr>
        <w:tabs>
          <w:tab w:val="num" w:pos="5040"/>
        </w:tabs>
        <w:ind w:left="5040" w:hanging="360"/>
      </w:pPr>
      <w:rPr>
        <w:rFonts w:ascii="Arial" w:hAnsi="Arial" w:hint="default"/>
      </w:rPr>
    </w:lvl>
    <w:lvl w:ilvl="7" w:tplc="93163348" w:tentative="1">
      <w:start w:val="1"/>
      <w:numFmt w:val="bullet"/>
      <w:lvlText w:val="•"/>
      <w:lvlJc w:val="left"/>
      <w:pPr>
        <w:tabs>
          <w:tab w:val="num" w:pos="5760"/>
        </w:tabs>
        <w:ind w:left="5760" w:hanging="360"/>
      </w:pPr>
      <w:rPr>
        <w:rFonts w:ascii="Arial" w:hAnsi="Arial" w:hint="default"/>
      </w:rPr>
    </w:lvl>
    <w:lvl w:ilvl="8" w:tplc="D93C5CA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C574B5"/>
    <w:multiLevelType w:val="hybridMultilevel"/>
    <w:tmpl w:val="4116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B139D7"/>
    <w:multiLevelType w:val="hybridMultilevel"/>
    <w:tmpl w:val="7C00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47"/>
  </w:num>
  <w:num w:numId="3">
    <w:abstractNumId w:val="42"/>
  </w:num>
  <w:num w:numId="4">
    <w:abstractNumId w:val="24"/>
  </w:num>
  <w:num w:numId="5">
    <w:abstractNumId w:val="25"/>
  </w:num>
  <w:num w:numId="6">
    <w:abstractNumId w:val="1"/>
  </w:num>
  <w:num w:numId="7">
    <w:abstractNumId w:val="0"/>
  </w:num>
  <w:num w:numId="8">
    <w:abstractNumId w:val="49"/>
  </w:num>
  <w:num w:numId="9">
    <w:abstractNumId w:val="37"/>
  </w:num>
  <w:num w:numId="10">
    <w:abstractNumId w:val="30"/>
  </w:num>
  <w:num w:numId="11">
    <w:abstractNumId w:val="22"/>
  </w:num>
  <w:num w:numId="12">
    <w:abstractNumId w:val="19"/>
  </w:num>
  <w:num w:numId="13">
    <w:abstractNumId w:val="28"/>
  </w:num>
  <w:num w:numId="14">
    <w:abstractNumId w:val="41"/>
  </w:num>
  <w:num w:numId="15">
    <w:abstractNumId w:val="3"/>
  </w:num>
  <w:num w:numId="16">
    <w:abstractNumId w:val="29"/>
  </w:num>
  <w:num w:numId="17">
    <w:abstractNumId w:val="12"/>
  </w:num>
  <w:num w:numId="18">
    <w:abstractNumId w:val="7"/>
  </w:num>
  <w:num w:numId="19">
    <w:abstractNumId w:val="20"/>
  </w:num>
  <w:num w:numId="20">
    <w:abstractNumId w:val="26"/>
  </w:num>
  <w:num w:numId="21">
    <w:abstractNumId w:val="33"/>
  </w:num>
  <w:num w:numId="22">
    <w:abstractNumId w:val="14"/>
  </w:num>
  <w:num w:numId="23">
    <w:abstractNumId w:val="6"/>
  </w:num>
  <w:num w:numId="24">
    <w:abstractNumId w:val="27"/>
  </w:num>
  <w:num w:numId="25">
    <w:abstractNumId w:val="48"/>
  </w:num>
  <w:num w:numId="26">
    <w:abstractNumId w:val="21"/>
  </w:num>
  <w:num w:numId="27">
    <w:abstractNumId w:val="39"/>
  </w:num>
  <w:num w:numId="28">
    <w:abstractNumId w:val="15"/>
  </w:num>
  <w:num w:numId="29">
    <w:abstractNumId w:val="16"/>
  </w:num>
  <w:num w:numId="30">
    <w:abstractNumId w:val="32"/>
  </w:num>
  <w:num w:numId="31">
    <w:abstractNumId w:val="8"/>
  </w:num>
  <w:num w:numId="32">
    <w:abstractNumId w:val="35"/>
  </w:num>
  <w:num w:numId="33">
    <w:abstractNumId w:val="5"/>
  </w:num>
  <w:num w:numId="34">
    <w:abstractNumId w:val="9"/>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43"/>
  </w:num>
  <w:num w:numId="38">
    <w:abstractNumId w:val="4"/>
  </w:num>
  <w:num w:numId="39">
    <w:abstractNumId w:val="45"/>
  </w:num>
  <w:num w:numId="40">
    <w:abstractNumId w:val="11"/>
  </w:num>
  <w:num w:numId="41">
    <w:abstractNumId w:val="46"/>
  </w:num>
  <w:num w:numId="42">
    <w:abstractNumId w:val="34"/>
  </w:num>
  <w:num w:numId="43">
    <w:abstractNumId w:val="36"/>
  </w:num>
  <w:num w:numId="44">
    <w:abstractNumId w:val="10"/>
  </w:num>
  <w:num w:numId="45">
    <w:abstractNumId w:val="31"/>
  </w:num>
  <w:num w:numId="46">
    <w:abstractNumId w:val="17"/>
  </w:num>
  <w:num w:numId="47">
    <w:abstractNumId w:val="18"/>
  </w:num>
  <w:num w:numId="48">
    <w:abstractNumId w:val="23"/>
  </w:num>
  <w:num w:numId="49">
    <w:abstractNumId w:val="44"/>
  </w:num>
  <w:num w:numId="5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BC"/>
    <w:rsid w:val="000E40D4"/>
    <w:rsid w:val="000E4402"/>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07863"/>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2A1"/>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2057"/>
    <w:rsid w:val="0024207B"/>
    <w:rsid w:val="00242324"/>
    <w:rsid w:val="0024466A"/>
    <w:rsid w:val="002448D2"/>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1FCA"/>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01D"/>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B89"/>
    <w:rsid w:val="00296F22"/>
    <w:rsid w:val="0029787B"/>
    <w:rsid w:val="002979F1"/>
    <w:rsid w:val="00297BF5"/>
    <w:rsid w:val="00297E7C"/>
    <w:rsid w:val="002A1565"/>
    <w:rsid w:val="002A16AB"/>
    <w:rsid w:val="002A1BA9"/>
    <w:rsid w:val="002A1EBD"/>
    <w:rsid w:val="002A226A"/>
    <w:rsid w:val="002A2ECE"/>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A7"/>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69CA"/>
    <w:rsid w:val="003B77B7"/>
    <w:rsid w:val="003B7BA6"/>
    <w:rsid w:val="003C0A88"/>
    <w:rsid w:val="003C329E"/>
    <w:rsid w:val="003C32F9"/>
    <w:rsid w:val="003C3D9F"/>
    <w:rsid w:val="003C4370"/>
    <w:rsid w:val="003C43E9"/>
    <w:rsid w:val="003C4E7F"/>
    <w:rsid w:val="003C5321"/>
    <w:rsid w:val="003C5FED"/>
    <w:rsid w:val="003C662E"/>
    <w:rsid w:val="003C6C39"/>
    <w:rsid w:val="003C707D"/>
    <w:rsid w:val="003C70A7"/>
    <w:rsid w:val="003C72D2"/>
    <w:rsid w:val="003C76C5"/>
    <w:rsid w:val="003D0362"/>
    <w:rsid w:val="003D161A"/>
    <w:rsid w:val="003D1E8B"/>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A61"/>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A0B"/>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5AC"/>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678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B"/>
    <w:rsid w:val="005451E2"/>
    <w:rsid w:val="00545F87"/>
    <w:rsid w:val="00546795"/>
    <w:rsid w:val="00551147"/>
    <w:rsid w:val="00551C49"/>
    <w:rsid w:val="00552A69"/>
    <w:rsid w:val="00553180"/>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72D"/>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2645"/>
    <w:rsid w:val="005C3AB3"/>
    <w:rsid w:val="005C404D"/>
    <w:rsid w:val="005C4859"/>
    <w:rsid w:val="005C4D36"/>
    <w:rsid w:val="005C5AEB"/>
    <w:rsid w:val="005C64D7"/>
    <w:rsid w:val="005C6930"/>
    <w:rsid w:val="005C783C"/>
    <w:rsid w:val="005C7ADE"/>
    <w:rsid w:val="005D00FF"/>
    <w:rsid w:val="005D0578"/>
    <w:rsid w:val="005D1C1E"/>
    <w:rsid w:val="005D1FEA"/>
    <w:rsid w:val="005D23E4"/>
    <w:rsid w:val="005D2805"/>
    <w:rsid w:val="005D2946"/>
    <w:rsid w:val="005D3F2D"/>
    <w:rsid w:val="005D42AC"/>
    <w:rsid w:val="005D4FCC"/>
    <w:rsid w:val="005D608C"/>
    <w:rsid w:val="005D649C"/>
    <w:rsid w:val="005D6EED"/>
    <w:rsid w:val="005D75F9"/>
    <w:rsid w:val="005E0E32"/>
    <w:rsid w:val="005E1CEA"/>
    <w:rsid w:val="005E1E23"/>
    <w:rsid w:val="005E25A4"/>
    <w:rsid w:val="005E2960"/>
    <w:rsid w:val="005E2C44"/>
    <w:rsid w:val="005E30D3"/>
    <w:rsid w:val="005E33A3"/>
    <w:rsid w:val="005E3958"/>
    <w:rsid w:val="005E3B35"/>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5AB"/>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27FDD"/>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63C"/>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43D"/>
    <w:rsid w:val="006C588E"/>
    <w:rsid w:val="006C63A6"/>
    <w:rsid w:val="006C6622"/>
    <w:rsid w:val="006C6ABD"/>
    <w:rsid w:val="006C796C"/>
    <w:rsid w:val="006C7B68"/>
    <w:rsid w:val="006D00B2"/>
    <w:rsid w:val="006D088C"/>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25"/>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8D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3B2"/>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1DE7"/>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7E"/>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DCA"/>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5D5"/>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647C"/>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07C"/>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40"/>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012"/>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671F"/>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1FC3"/>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3350"/>
    <w:rsid w:val="00AD4947"/>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3CD"/>
    <w:rsid w:val="00AE37CD"/>
    <w:rsid w:val="00AE3D62"/>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40C"/>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0983"/>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0BB1"/>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19D3"/>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4957"/>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2E5"/>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E1B"/>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0DFB"/>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4D6"/>
    <w:rsid w:val="00D15768"/>
    <w:rsid w:val="00D162F8"/>
    <w:rsid w:val="00D1633E"/>
    <w:rsid w:val="00D16410"/>
    <w:rsid w:val="00D16B76"/>
    <w:rsid w:val="00D16DCC"/>
    <w:rsid w:val="00D1774F"/>
    <w:rsid w:val="00D20462"/>
    <w:rsid w:val="00D20AA8"/>
    <w:rsid w:val="00D20ADB"/>
    <w:rsid w:val="00D20E48"/>
    <w:rsid w:val="00D21669"/>
    <w:rsid w:val="00D21AFE"/>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069"/>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5F6B"/>
    <w:rsid w:val="00D866C6"/>
    <w:rsid w:val="00D86753"/>
    <w:rsid w:val="00D867CF"/>
    <w:rsid w:val="00D87B98"/>
    <w:rsid w:val="00D90075"/>
    <w:rsid w:val="00D90D36"/>
    <w:rsid w:val="00D91D46"/>
    <w:rsid w:val="00D92331"/>
    <w:rsid w:val="00D92B4B"/>
    <w:rsid w:val="00D94244"/>
    <w:rsid w:val="00D9433A"/>
    <w:rsid w:val="00D94D31"/>
    <w:rsid w:val="00D953BD"/>
    <w:rsid w:val="00D957EF"/>
    <w:rsid w:val="00D9580B"/>
    <w:rsid w:val="00D95D39"/>
    <w:rsid w:val="00D95E0B"/>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3B"/>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1BA1"/>
    <w:rsid w:val="00E2222B"/>
    <w:rsid w:val="00E231E3"/>
    <w:rsid w:val="00E25B95"/>
    <w:rsid w:val="00E25C5F"/>
    <w:rsid w:val="00E260F5"/>
    <w:rsid w:val="00E262DC"/>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C58"/>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4F0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753"/>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A2"/>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3A43"/>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C18"/>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095"/>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70F"/>
    <w:rsid w:val="00F83797"/>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32"/>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ption Char1,Caption Char Char,CaptionTable Char,cap1 Char,cap2 Char,cap11 Char1,Légende-figure Char1,Légende-figure Char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60361373">
      <w:bodyDiv w:val="1"/>
      <w:marLeft w:val="0"/>
      <w:marRight w:val="0"/>
      <w:marTop w:val="0"/>
      <w:marBottom w:val="0"/>
      <w:divBdr>
        <w:top w:val="none" w:sz="0" w:space="0" w:color="auto"/>
        <w:left w:val="none" w:sz="0" w:space="0" w:color="auto"/>
        <w:bottom w:val="none" w:sz="0" w:space="0" w:color="auto"/>
        <w:right w:val="none" w:sz="0" w:space="0" w:color="auto"/>
      </w:divBdr>
    </w:div>
    <w:div w:id="593586870">
      <w:bodyDiv w:val="1"/>
      <w:marLeft w:val="0"/>
      <w:marRight w:val="0"/>
      <w:marTop w:val="0"/>
      <w:marBottom w:val="0"/>
      <w:divBdr>
        <w:top w:val="none" w:sz="0" w:space="0" w:color="auto"/>
        <w:left w:val="none" w:sz="0" w:space="0" w:color="auto"/>
        <w:bottom w:val="none" w:sz="0" w:space="0" w:color="auto"/>
        <w:right w:val="none" w:sz="0" w:space="0" w:color="auto"/>
      </w:divBdr>
      <w:divsChild>
        <w:div w:id="871188776">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5017236">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8124345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6340265">
      <w:bodyDiv w:val="1"/>
      <w:marLeft w:val="0"/>
      <w:marRight w:val="0"/>
      <w:marTop w:val="0"/>
      <w:marBottom w:val="0"/>
      <w:divBdr>
        <w:top w:val="none" w:sz="0" w:space="0" w:color="auto"/>
        <w:left w:val="none" w:sz="0" w:space="0" w:color="auto"/>
        <w:bottom w:val="none" w:sz="0" w:space="0" w:color="auto"/>
        <w:right w:val="none" w:sz="0" w:space="0" w:color="auto"/>
      </w:divBdr>
      <w:divsChild>
        <w:div w:id="1740009383">
          <w:marLeft w:val="547"/>
          <w:marRight w:val="0"/>
          <w:marTop w:val="115"/>
          <w:marBottom w:val="0"/>
          <w:divBdr>
            <w:top w:val="none" w:sz="0" w:space="0" w:color="auto"/>
            <w:left w:val="none" w:sz="0" w:space="0" w:color="auto"/>
            <w:bottom w:val="none" w:sz="0" w:space="0" w:color="auto"/>
            <w:right w:val="none" w:sz="0" w:space="0" w:color="auto"/>
          </w:divBdr>
        </w:div>
        <w:div w:id="32868224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BA3FC-12D5-4389-9B48-DAF87F2C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2018-05-14T14:50:00Z</dcterms:created>
  <dcterms:modified xsi:type="dcterms:W3CDTF">2018-05-14T19:21:00Z</dcterms:modified>
</cp:coreProperties>
</file>